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8B" w:rsidRDefault="009A748B" w:rsidP="009A748B">
      <w:pPr>
        <w:jc w:val="both"/>
        <w:rPr>
          <w:b/>
          <w:sz w:val="28"/>
          <w:szCs w:val="28"/>
        </w:rPr>
      </w:pPr>
      <w:r w:rsidRPr="008D6163">
        <w:rPr>
          <w:b/>
          <w:sz w:val="28"/>
          <w:szCs w:val="28"/>
        </w:rPr>
        <w:t>El rendimiento académico en los diferente</w:t>
      </w:r>
      <w:r>
        <w:rPr>
          <w:b/>
          <w:sz w:val="28"/>
          <w:szCs w:val="28"/>
        </w:rPr>
        <w:t xml:space="preserve">s planes de estudio durante los dos primeros años </w:t>
      </w:r>
      <w:r w:rsidRPr="008D6163">
        <w:rPr>
          <w:b/>
          <w:sz w:val="28"/>
          <w:szCs w:val="28"/>
        </w:rPr>
        <w:t>del profesorado de educación física del ISEF de Catamarca</w:t>
      </w:r>
    </w:p>
    <w:p w:rsidR="009A748B" w:rsidRPr="00BA0566" w:rsidRDefault="009A748B" w:rsidP="009A748B">
      <w:pPr>
        <w:jc w:val="both"/>
      </w:pPr>
      <w:r w:rsidRPr="00BA0566">
        <w:t>Gregorat Juan; Peirano Verónica</w:t>
      </w:r>
    </w:p>
    <w:p w:rsidR="009A748B" w:rsidRPr="00BA0566" w:rsidRDefault="009A748B" w:rsidP="009A748B">
      <w:pPr>
        <w:jc w:val="both"/>
      </w:pPr>
      <w:r w:rsidRPr="00BA0566">
        <w:t>Instituto Superior de Educación Física de Catamarca</w:t>
      </w:r>
    </w:p>
    <w:p w:rsidR="009A748B" w:rsidRPr="005562B1" w:rsidRDefault="009A748B" w:rsidP="009A748B">
      <w:pPr>
        <w:spacing w:after="0" w:line="240" w:lineRule="auto"/>
        <w:jc w:val="both"/>
        <w:rPr>
          <w:rFonts w:eastAsia="Times New Roman" w:cs="Times New Roman"/>
          <w:sz w:val="28"/>
          <w:szCs w:val="28"/>
          <w:lang w:eastAsia="es-ES_tradnl"/>
        </w:rPr>
      </w:pPr>
      <w:r w:rsidRPr="005562B1">
        <w:rPr>
          <w:rFonts w:eastAsia="Times New Roman" w:cs="Times New Roman"/>
          <w:sz w:val="28"/>
          <w:szCs w:val="28"/>
          <w:lang w:eastAsia="es-ES_tradnl"/>
        </w:rPr>
        <w:t>Resumen</w:t>
      </w: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spacing w:after="0" w:line="240" w:lineRule="auto"/>
        <w:jc w:val="both"/>
        <w:rPr>
          <w:rFonts w:eastAsia="Times New Roman" w:cs="Times New Roman"/>
          <w:sz w:val="24"/>
          <w:szCs w:val="24"/>
          <w:lang w:eastAsia="es-ES_tradnl"/>
        </w:rPr>
      </w:pPr>
      <w:r>
        <w:rPr>
          <w:rFonts w:eastAsia="Times New Roman" w:cs="Times New Roman"/>
          <w:sz w:val="24"/>
          <w:szCs w:val="24"/>
          <w:lang w:eastAsia="es-ES_tradnl"/>
        </w:rPr>
        <w:t>El objetivo del presente estudio fue analizar la implementación de la puesta en marcha de un nuevo plan de estudios en la carrera de Profesorado de Educación Física del ISEF de Catamarca. Se llevo a cabo un seguimiento de la cantidad de materias aprobadas de los alumnos durante los primeros dos años de cursado de la carrera, en las cohortes 2013 (plan de estudios caduco, n =148) y 2014 (plan de estudios vigente, n=154). Teniendo en cuenta el tipo de acreditación, las materias se clasificaron en libres (ML), regulares (MR) y promocionales (MP). Considerando la cantidad de materias aprobadas al momento del análisis, los alumnos de ambas cohortes se categorizaron en alumnos con rendimiento académico alto (RAA), intermedio (RAI), bajo (RAB) y alumnos abandonicos (AA). Los resultados hallados muestran que la proporción de RAA fue mayor en la cohorte 2014, y la proporción de RAB fue mayor en la cohorte 2013 (p&lt;0,05). No hubo diferencias entre las cohortes en RAI y en AA. Las diferencias entre RAA y RAB entre las cohortes se atribuyen principalmente a MP y MR, y no a ML. Se concluye que el plan de estudios vigente ofrece una mejor inserción académica de los alumnos gracias a que implementa una metodología de evaluación más formativa y  menos sumativa, lo que se refleja respectivamente en la tasa de aprobación de MP y MR.</w:t>
      </w: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jc w:val="both"/>
      </w:pPr>
      <w:r w:rsidRPr="00F15495">
        <w:rPr>
          <w:rFonts w:eastAsia="Times New Roman" w:cs="Times New Roman"/>
          <w:sz w:val="28"/>
          <w:szCs w:val="28"/>
          <w:lang w:eastAsia="es-ES_tradnl"/>
        </w:rPr>
        <w:t>Palabras Claves:</w:t>
      </w:r>
      <w:r>
        <w:rPr>
          <w:rFonts w:eastAsia="Times New Roman" w:cs="Times New Roman"/>
          <w:sz w:val="24"/>
          <w:szCs w:val="24"/>
          <w:lang w:eastAsia="es-ES_tradnl"/>
        </w:rPr>
        <w:t xml:space="preserve"> </w:t>
      </w:r>
      <w:r>
        <w:t>rendimiento académico; plan de estudios; educación física.</w:t>
      </w:r>
    </w:p>
    <w:p w:rsidR="009A748B" w:rsidRDefault="009A748B" w:rsidP="009A748B">
      <w:pPr>
        <w:rPr>
          <w:sz w:val="28"/>
          <w:szCs w:val="28"/>
        </w:rPr>
      </w:pPr>
      <w:r>
        <w:rPr>
          <w:sz w:val="28"/>
          <w:szCs w:val="28"/>
        </w:rPr>
        <w:t>Introducción</w:t>
      </w:r>
    </w:p>
    <w:p w:rsidR="009A748B" w:rsidRDefault="009A748B" w:rsidP="009A748B">
      <w:pPr>
        <w:spacing w:after="0" w:line="240" w:lineRule="auto"/>
        <w:jc w:val="both"/>
        <w:rPr>
          <w:rFonts w:eastAsia="Times New Roman" w:cs="Times New Roman"/>
          <w:sz w:val="24"/>
          <w:szCs w:val="24"/>
          <w:lang w:eastAsia="es-ES_tradnl"/>
        </w:rPr>
      </w:pPr>
      <w:r w:rsidRPr="00BF2D56">
        <w:rPr>
          <w:rFonts w:cs="Times New Roman"/>
          <w:sz w:val="24"/>
          <w:szCs w:val="24"/>
        </w:rPr>
        <w:t>Una de las dimensiones más importantes en el proceso de enseñanza aprendizaje es el rendimiento académico. Según Jiménez Hernández (1994) el rendimiento académico hace referencia a un</w:t>
      </w:r>
      <w:r>
        <w:rPr>
          <w:rFonts w:cs="Times New Roman"/>
          <w:sz w:val="24"/>
          <w:szCs w:val="24"/>
        </w:rPr>
        <w:t xml:space="preserve"> cierto</w:t>
      </w:r>
      <w:r w:rsidRPr="00BF2D56">
        <w:rPr>
          <w:rFonts w:cs="Times New Roman"/>
          <w:sz w:val="24"/>
          <w:szCs w:val="24"/>
        </w:rPr>
        <w:t xml:space="preserve"> nivel de conocimientos demostrado en un área o materia </w:t>
      </w:r>
      <w:r>
        <w:rPr>
          <w:rFonts w:cs="Times New Roman"/>
          <w:sz w:val="24"/>
          <w:szCs w:val="24"/>
        </w:rPr>
        <w:t>en comparación</w:t>
      </w:r>
      <w:r w:rsidRPr="00BF2D56">
        <w:rPr>
          <w:rFonts w:cs="Times New Roman"/>
          <w:sz w:val="24"/>
          <w:szCs w:val="24"/>
        </w:rPr>
        <w:t xml:space="preserve"> con la norma de edad y nivel académico. </w:t>
      </w:r>
      <w:r w:rsidRPr="00BF2D56">
        <w:rPr>
          <w:rFonts w:eastAsia="Times New Roman" w:cs="Times New Roman"/>
          <w:sz w:val="24"/>
          <w:szCs w:val="24"/>
          <w:lang w:eastAsia="es-ES_tradnl"/>
        </w:rPr>
        <w:t>A nivel universitario el rendimiento académico del estudiantado  constituye un factor imprescindible en el abordaje del tema de la calidad de la educación superior, debido a que es un indicador que permite una aproximación a la realidad educativa (Vargas Garbanzo 2007).</w:t>
      </w: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spacing w:after="0" w:line="240" w:lineRule="auto"/>
        <w:jc w:val="both"/>
        <w:rPr>
          <w:sz w:val="24"/>
          <w:szCs w:val="24"/>
        </w:rPr>
      </w:pPr>
      <w:r w:rsidRPr="00EE646B">
        <w:rPr>
          <w:rFonts w:eastAsia="Times New Roman" w:cs="Times New Roman"/>
          <w:sz w:val="24"/>
          <w:szCs w:val="24"/>
          <w:lang w:eastAsia="es-ES_tradnl"/>
        </w:rPr>
        <w:t xml:space="preserve">Una de las variables más empleadas para valorar el rendimiento académico de los alumnos, tanto para  docentes como para investigadores, son las calificaciones escolares. Cascon (2000) atribuye el tema a dos razones principales 1) la necesidad de un sistema educativo efectivo y eficaz que proporcione a los alumnos un marco idóneo para desarrollar su potencialidades 2) la presencia de  evaluaciones en donde el alumno ha de demostrar sus conocimientos en las distintas áreas o materias, que el sistema considera necesarias y suficientes para su desarrollo como miembro activo de </w:t>
      </w:r>
      <w:r w:rsidRPr="00EE646B">
        <w:rPr>
          <w:rFonts w:eastAsia="Times New Roman" w:cs="Times New Roman"/>
          <w:sz w:val="24"/>
          <w:szCs w:val="24"/>
          <w:lang w:eastAsia="es-ES_tradnl"/>
        </w:rPr>
        <w:lastRenderedPageBreak/>
        <w:t>la sociedad. De esta manera, el rendimiento académico puede ser entendido a partir de sus procesos de evaluación, no obstante sabemos que dicho abordaje puede dejar de tener en cuenta algunos aspectos propios del alumno como así también de la Institución Educativa. En tal sentido, n</w:t>
      </w:r>
      <w:r w:rsidRPr="00EE646B">
        <w:rPr>
          <w:sz w:val="24"/>
          <w:szCs w:val="24"/>
        </w:rPr>
        <w:t>umerosos son los estudios que se han visto atraídos en  indagar la relación y/o el condicionamiento del rendimiento académico con factores intrínsecos o extrínsecos del alumno (Gregorat et. al. 2007; Velazquez &amp; Rodriguez 2006; Osorio  et. al 2012; Ruiz G 2009; Porto &amp; Di Gresa 2000; Castro &amp; Casullo 2002; Cruz &amp; Gomez 2005; Martinez &amp; Ferrán Galán 2000</w:t>
      </w:r>
      <w:r>
        <w:rPr>
          <w:sz w:val="24"/>
          <w:szCs w:val="24"/>
        </w:rPr>
        <w:t>; Tejedor &amp; Muñoz 2007; Renault et al 2014</w:t>
      </w:r>
      <w:r w:rsidRPr="00EE646B">
        <w:rPr>
          <w:sz w:val="24"/>
          <w:szCs w:val="24"/>
        </w:rPr>
        <w:t>)</w:t>
      </w:r>
      <w:r>
        <w:rPr>
          <w:sz w:val="24"/>
          <w:szCs w:val="24"/>
        </w:rPr>
        <w:t>. Resumiendo</w:t>
      </w:r>
      <w:r w:rsidRPr="00EE646B">
        <w:rPr>
          <w:sz w:val="24"/>
          <w:szCs w:val="24"/>
        </w:rPr>
        <w:t>, las investigaciones apuntan a características propias del alumno (nivel cognitivo, inteligencia, dedicación), características sociales (nivel socioeconómico, estudio de los padres) y características del establecimiento educativo (disponibilidad de tutorías y/o apoyos pedagógicos, planes de estudio).</w:t>
      </w:r>
    </w:p>
    <w:p w:rsidR="009A748B" w:rsidRDefault="009A748B" w:rsidP="009A748B">
      <w:pPr>
        <w:spacing w:after="0" w:line="240" w:lineRule="auto"/>
        <w:jc w:val="both"/>
        <w:rPr>
          <w:sz w:val="24"/>
          <w:szCs w:val="24"/>
        </w:rPr>
      </w:pPr>
    </w:p>
    <w:p w:rsidR="009A748B" w:rsidRDefault="009A748B" w:rsidP="009A748B">
      <w:pPr>
        <w:spacing w:after="0" w:line="240" w:lineRule="auto"/>
        <w:jc w:val="both"/>
        <w:rPr>
          <w:sz w:val="24"/>
          <w:szCs w:val="24"/>
        </w:rPr>
      </w:pPr>
      <w:r>
        <w:rPr>
          <w:sz w:val="24"/>
          <w:szCs w:val="24"/>
        </w:rPr>
        <w:t>En el presente estudio pretendemos valorar el rendimiento académico de los alumnos del profesorado de educación física del ISEF de Catamarca, teniendo en cuenta la implementación de cambios curriculares institucionales, más precisamente nos plantemos analizar  la incidencia de la implementación de un nuevo plan de estudios  en el rendimiento académico de los alumnos. Los datos obtenidos podrán ser útiles en la medida que contribuyan a comprender y así mejorar la inserción del alumno a la Institución.</w:t>
      </w:r>
    </w:p>
    <w:p w:rsidR="009A748B" w:rsidRDefault="009A748B" w:rsidP="009A748B">
      <w:pPr>
        <w:spacing w:after="0" w:line="240" w:lineRule="auto"/>
        <w:jc w:val="both"/>
        <w:rPr>
          <w:sz w:val="24"/>
          <w:szCs w:val="24"/>
        </w:rPr>
      </w:pPr>
    </w:p>
    <w:p w:rsidR="009A748B" w:rsidRPr="00472B0A" w:rsidRDefault="009A748B" w:rsidP="009A748B">
      <w:pPr>
        <w:rPr>
          <w:sz w:val="28"/>
          <w:szCs w:val="28"/>
        </w:rPr>
      </w:pPr>
      <w:r w:rsidRPr="00472B0A">
        <w:rPr>
          <w:sz w:val="28"/>
          <w:szCs w:val="28"/>
        </w:rPr>
        <w:t>Metodología</w:t>
      </w:r>
    </w:p>
    <w:p w:rsidR="009A748B" w:rsidRDefault="009A748B" w:rsidP="009A748B">
      <w:pPr>
        <w:jc w:val="both"/>
        <w:rPr>
          <w:sz w:val="24"/>
          <w:szCs w:val="24"/>
        </w:rPr>
      </w:pPr>
      <w:r w:rsidRPr="002A2C4D">
        <w:rPr>
          <w:sz w:val="24"/>
          <w:szCs w:val="24"/>
        </w:rPr>
        <w:t xml:space="preserve">Para estudiar el rendimiento académico de los alumnos del profesorado de educación física en los diferentes planes de estudio del ISEF de Catamarca,  se realizó un conteo de la totalidad de materias aprobadas </w:t>
      </w:r>
      <w:r>
        <w:rPr>
          <w:sz w:val="24"/>
          <w:szCs w:val="24"/>
        </w:rPr>
        <w:t>durante los dos primeros años de la carrera</w:t>
      </w:r>
      <w:r w:rsidRPr="002A2C4D">
        <w:rPr>
          <w:sz w:val="24"/>
          <w:szCs w:val="24"/>
        </w:rPr>
        <w:t xml:space="preserve"> </w:t>
      </w:r>
      <w:r>
        <w:rPr>
          <w:sz w:val="24"/>
          <w:szCs w:val="24"/>
        </w:rPr>
        <w:t xml:space="preserve">de estudios </w:t>
      </w:r>
      <w:r w:rsidRPr="002A2C4D">
        <w:rPr>
          <w:sz w:val="24"/>
          <w:szCs w:val="24"/>
        </w:rPr>
        <w:t xml:space="preserve">de cada alumno de las cohortes 2013 y 2014,  durante el periodo de tiempo correspondiente </w:t>
      </w:r>
      <w:r>
        <w:rPr>
          <w:sz w:val="24"/>
          <w:szCs w:val="24"/>
        </w:rPr>
        <w:t xml:space="preserve">a dos años </w:t>
      </w:r>
      <w:r w:rsidRPr="002A2C4D">
        <w:rPr>
          <w:sz w:val="24"/>
          <w:szCs w:val="24"/>
        </w:rPr>
        <w:t>y medio a partir de su ingreso a la institución. Más precisamente se realizó un seguimiento de la cantidad de materias aprobadas  desde el ingreso</w:t>
      </w:r>
      <w:r>
        <w:rPr>
          <w:sz w:val="24"/>
          <w:szCs w:val="24"/>
        </w:rPr>
        <w:t xml:space="preserve"> del alumno</w:t>
      </w:r>
      <w:r w:rsidRPr="002A2C4D">
        <w:rPr>
          <w:sz w:val="24"/>
          <w:szCs w:val="24"/>
        </w:rPr>
        <w:t xml:space="preserve"> hasta </w:t>
      </w:r>
      <w:r>
        <w:rPr>
          <w:sz w:val="24"/>
          <w:szCs w:val="24"/>
        </w:rPr>
        <w:t xml:space="preserve">incluido </w:t>
      </w:r>
      <w:r w:rsidRPr="002A2C4D">
        <w:rPr>
          <w:sz w:val="24"/>
          <w:szCs w:val="24"/>
        </w:rPr>
        <w:t>el mes d</w:t>
      </w:r>
      <w:r>
        <w:rPr>
          <w:sz w:val="24"/>
          <w:szCs w:val="24"/>
        </w:rPr>
        <w:t xml:space="preserve">e agosto  del </w:t>
      </w:r>
      <w:r w:rsidRPr="002A2C4D">
        <w:rPr>
          <w:sz w:val="24"/>
          <w:szCs w:val="24"/>
        </w:rPr>
        <w:t xml:space="preserve"> </w:t>
      </w:r>
      <w:r>
        <w:rPr>
          <w:sz w:val="24"/>
          <w:szCs w:val="24"/>
        </w:rPr>
        <w:t>tercer año de cursado.</w:t>
      </w:r>
    </w:p>
    <w:p w:rsidR="009A748B" w:rsidRPr="002A2C4D" w:rsidRDefault="009A748B" w:rsidP="009A748B">
      <w:pPr>
        <w:jc w:val="both"/>
        <w:rPr>
          <w:sz w:val="24"/>
          <w:szCs w:val="24"/>
        </w:rPr>
      </w:pPr>
      <w:r w:rsidRPr="002A2C4D">
        <w:rPr>
          <w:sz w:val="24"/>
          <w:szCs w:val="24"/>
        </w:rPr>
        <w:t xml:space="preserve">Fueron descartados los alumnos que durante dicho lapso de tiempo no contabilizaron materias aprobadas, ya que se presupone que son alumnos que posterior a la inscripción  abandonaron la carrera de estudios. </w:t>
      </w:r>
    </w:p>
    <w:p w:rsidR="009A748B" w:rsidRDefault="009A748B" w:rsidP="009A748B">
      <w:pPr>
        <w:jc w:val="both"/>
        <w:rPr>
          <w:sz w:val="24"/>
          <w:szCs w:val="24"/>
        </w:rPr>
      </w:pPr>
      <w:r>
        <w:rPr>
          <w:sz w:val="24"/>
          <w:szCs w:val="24"/>
        </w:rPr>
        <w:t xml:space="preserve">La totalidad de alumnos fue de 302, siendo 148 sujetos pertenecientes al plan de estudios caduco (plan de estudios 1605/98), y 154 sujetos pertenecientes al plan de estudios vigente o nuevo (plan de estudios 117/14). El plan de estudios  1605/98 inició su ultima cohorte en el año 2013, por tanto los alumnos del presente estudio de dicha cohorte son los últimos en llevar a cabo su carrera con ese plan de estudios.  Por su parte, el plan de estudios 117/14 se inició en 2014, siendo los alumnos del presente estudio los primeros en comenzar la carrera de Profesor de Educación Física con dicho plan. El numero de materias totales de los dos primeros años de carrera son diferentes de acuerdo al plan que se trate, siendo 21 la totalidad de materias del plan de estudios </w:t>
      </w:r>
      <w:r>
        <w:rPr>
          <w:sz w:val="24"/>
          <w:szCs w:val="24"/>
        </w:rPr>
        <w:lastRenderedPageBreak/>
        <w:t>1605/98 (cohorte 2013) y 22 las materias totales del plan  de estudios 117/14 (cohorte 2014).</w:t>
      </w:r>
    </w:p>
    <w:p w:rsidR="009A748B" w:rsidRDefault="009A748B" w:rsidP="009A748B">
      <w:pPr>
        <w:jc w:val="both"/>
        <w:rPr>
          <w:sz w:val="24"/>
          <w:szCs w:val="24"/>
        </w:rPr>
      </w:pPr>
      <w:r>
        <w:rPr>
          <w:sz w:val="24"/>
          <w:szCs w:val="24"/>
        </w:rPr>
        <w:t>Las materias aprobadas también fueron clasificadas en base al carácter de acreditación por parte del alumno, es decir si la materia era aprobada con examen final en carácter de alumno libre o regular, o si la materia era directamente aprobada sin examen final y en carácter de promoción.</w:t>
      </w:r>
    </w:p>
    <w:p w:rsidR="009A748B" w:rsidRDefault="009A748B" w:rsidP="009A748B">
      <w:pPr>
        <w:jc w:val="both"/>
        <w:rPr>
          <w:sz w:val="24"/>
          <w:szCs w:val="24"/>
        </w:rPr>
      </w:pPr>
      <w:r>
        <w:rPr>
          <w:sz w:val="24"/>
          <w:szCs w:val="24"/>
        </w:rPr>
        <w:t xml:space="preserve">Los alumnos fueron agrupados según su rendimiento académico, es decir en base a la cantidad de materias aprobadas. De este modo los alumnos se dividieron en cuatro grupos, siendo parte del  grupo de rendimiento académico alto los alumnos que tenían como mínimo el 80% de las materias aprobadas. Al grupo de rendimiento académico intermedio pertenecieron los alumnos con menos del 80% pero que superaban el 50% de la totalidad de materias. Los alumnos que no alcanzaban el 50% de las materias pertenecían al grupo de rendimiento académico bajo y los que no superaron el 10% de las materias eran considerados como parte del grupo de alumnos abandonicos. </w:t>
      </w:r>
    </w:p>
    <w:p w:rsidR="009A748B" w:rsidRPr="008D6163" w:rsidRDefault="009A748B" w:rsidP="009A748B">
      <w:pPr>
        <w:jc w:val="both"/>
        <w:rPr>
          <w:b/>
          <w:sz w:val="28"/>
          <w:szCs w:val="28"/>
        </w:rPr>
      </w:pPr>
      <w:r>
        <w:rPr>
          <w:sz w:val="24"/>
          <w:szCs w:val="24"/>
        </w:rPr>
        <w:t xml:space="preserve">Para analizar diferencias en la distribución de los alumnos en base al rendimiento académico y al plan de estudios emprendido, fue utilizado el estadígrafo chi cuadrado. Para contrastar diferencias, tanto intracohorte como intercohorte, en el porcentaje del tipo de materias aprobadas fue utilizada el análisis de varianza a una vía. En todos los casos fue aceptada solo una significancia en la  probabilidad de las diferencias menor a 0.05. </w:t>
      </w:r>
    </w:p>
    <w:p w:rsidR="009A748B" w:rsidRPr="00781F4A" w:rsidRDefault="009A748B" w:rsidP="009A748B">
      <w:pPr>
        <w:rPr>
          <w:sz w:val="28"/>
          <w:szCs w:val="28"/>
        </w:rPr>
      </w:pPr>
      <w:r w:rsidRPr="00781F4A">
        <w:rPr>
          <w:sz w:val="28"/>
          <w:szCs w:val="28"/>
        </w:rPr>
        <w:t>Resultados</w:t>
      </w:r>
    </w:p>
    <w:p w:rsidR="009A748B" w:rsidRDefault="009A748B" w:rsidP="009A748B">
      <w:pPr>
        <w:jc w:val="both"/>
      </w:pPr>
      <w:r>
        <w:t>En el gráfico Nº1 se puede apreciar el porcentaje de alumnos categorizados en base a su rendimiento académico en las distintas cohortes correspondientes a diferentes planes de estudio del ISEF de Catamarca. Claramente vemos que la proporción de alumnos con bajo rendimiento académico es mayor en la corte 2013, y que la proporción de alumnos con alto rendimiento académico es menor en dicha cohorte, comparando en ambos casos con la cohorte 2014. Estas proporciones son significativamente diferentes desde el punto de vista estadístico, utilizando el método de chi cuadrado. A su vez, no hubo diferencias significativas entre las cohortes en la proporción de alumnos con rendimiento académico intermedio y en la proporción de alumnos abandonicos.</w:t>
      </w:r>
    </w:p>
    <w:p w:rsidR="009A748B" w:rsidRDefault="009A748B" w:rsidP="009A748B">
      <w:pPr>
        <w:jc w:val="both"/>
      </w:pPr>
    </w:p>
    <w:p w:rsidR="009A748B" w:rsidRDefault="009A748B" w:rsidP="009A748B">
      <w:pPr>
        <w:jc w:val="both"/>
      </w:pPr>
    </w:p>
    <w:p w:rsidR="009A748B" w:rsidRDefault="009A748B" w:rsidP="009A748B">
      <w:pPr>
        <w:jc w:val="both"/>
      </w:pPr>
    </w:p>
    <w:p w:rsidR="009A748B" w:rsidRDefault="009A748B" w:rsidP="009A748B">
      <w:pPr>
        <w:jc w:val="both"/>
      </w:pPr>
    </w:p>
    <w:p w:rsidR="009A748B" w:rsidRDefault="009A748B" w:rsidP="009A748B">
      <w:pPr>
        <w:jc w:val="both"/>
      </w:pPr>
    </w:p>
    <w:p w:rsidR="009A748B" w:rsidRDefault="009A748B" w:rsidP="009A748B">
      <w:pPr>
        <w:jc w:val="both"/>
      </w:pPr>
    </w:p>
    <w:p w:rsidR="009A748B" w:rsidRDefault="009A748B" w:rsidP="009A748B">
      <w:pPr>
        <w:jc w:val="both"/>
      </w:pPr>
      <w:r>
        <w:lastRenderedPageBreak/>
        <w:t>Gráfico Nº1</w:t>
      </w:r>
    </w:p>
    <w:p w:rsidR="009A748B" w:rsidRDefault="009A748B" w:rsidP="009A748B">
      <w:pPr>
        <w:jc w:val="both"/>
      </w:pPr>
      <w:r w:rsidRPr="00F6553D">
        <w:rPr>
          <w:noProof/>
          <w:lang w:eastAsia="es-ES_tradnl"/>
        </w:rPr>
        <w:drawing>
          <wp:inline distT="0" distB="0" distL="0" distR="0">
            <wp:extent cx="5400040" cy="4010025"/>
            <wp:effectExtent l="19050" t="0" r="10160"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A748B" w:rsidRDefault="009A748B" w:rsidP="009A748B">
      <w:pPr>
        <w:jc w:val="both"/>
      </w:pPr>
      <w:r>
        <w:t>(*) p &lt; 0,05</w:t>
      </w:r>
    </w:p>
    <w:p w:rsidR="009A748B" w:rsidRDefault="009A748B" w:rsidP="009A748B">
      <w:pPr>
        <w:jc w:val="both"/>
      </w:pPr>
    </w:p>
    <w:p w:rsidR="009A748B" w:rsidRDefault="009A748B" w:rsidP="009A748B">
      <w:pPr>
        <w:jc w:val="both"/>
      </w:pPr>
      <w:r>
        <w:t>En el gráfico Nº2 observamos la proporción de materias aprobadas de acuerdo al tipo de acreditación y en los grupos de alumnos categorizados en función al nivel de rendimiento académico.  Se hallaron diferencias estadísticamente significativas a través de anova a una vía entre las cohortes (*) en las proporciones de materias  regularizadas y materias promocionadas, pero no así en las materias acreditadas como libres. En el caso de las materias promocionadas estas tienen una mayor proporción en los alumnos de la cohorte 2014, tanto para los alumnos con alto como con bajo rendimiento académico, comparando con sus respectivos pares de la cohorte 2013. Para las materias regularizadas la situación es inversa, es decir tanto los alumnos de alto y bajo rendimiento académico de la cohorte 2013 tienen mayor proporción de materias aprobadas de este tipo con respecto a sus respectivos pares de la cohorte 2014. En cuanto a las comparaciones intracohortes (</w:t>
      </w:r>
      <w:r w:rsidRPr="00954661">
        <w:rPr>
          <w:color w:val="FF0000"/>
        </w:rPr>
        <w:t>*</w:t>
      </w:r>
      <w:r>
        <w:t>), la tendencia es la misma, es decir los alumnos que poseen un alto rendimiento académico se diferencian de sus compañeros de pobre desempeño académico por la proporción favorable de materias promocionadas y regularizadas, y no por las materias acreditadas como libres.</w:t>
      </w:r>
    </w:p>
    <w:p w:rsidR="009A748B" w:rsidRDefault="009A748B" w:rsidP="009A748B">
      <w:pPr>
        <w:jc w:val="both"/>
      </w:pPr>
    </w:p>
    <w:p w:rsidR="009A748B" w:rsidRDefault="009A748B" w:rsidP="009A748B">
      <w:pPr>
        <w:jc w:val="both"/>
      </w:pPr>
    </w:p>
    <w:p w:rsidR="009A748B" w:rsidRDefault="009A748B" w:rsidP="009A748B">
      <w:pPr>
        <w:jc w:val="both"/>
      </w:pPr>
    </w:p>
    <w:p w:rsidR="009A748B" w:rsidRDefault="009A748B" w:rsidP="009A748B">
      <w:pPr>
        <w:jc w:val="both"/>
      </w:pPr>
      <w:r>
        <w:lastRenderedPageBreak/>
        <w:t>Gráfico Nº2</w:t>
      </w:r>
    </w:p>
    <w:p w:rsidR="009A748B" w:rsidRDefault="009A748B" w:rsidP="009A748B">
      <w:pPr>
        <w:jc w:val="both"/>
      </w:pPr>
      <w:r w:rsidRPr="00F6553D">
        <w:rPr>
          <w:noProof/>
          <w:lang w:eastAsia="es-ES_tradnl"/>
        </w:rPr>
        <w:drawing>
          <wp:inline distT="0" distB="0" distL="0" distR="0">
            <wp:extent cx="5400040" cy="3150235"/>
            <wp:effectExtent l="19050" t="0" r="10160"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A748B" w:rsidRDefault="009A748B" w:rsidP="009A748B">
      <w:pPr>
        <w:jc w:val="both"/>
      </w:pPr>
      <w:r>
        <w:t>(*) p &lt; 0,05</w:t>
      </w:r>
    </w:p>
    <w:p w:rsidR="009A748B" w:rsidRDefault="009A748B" w:rsidP="009A748B">
      <w:pPr>
        <w:jc w:val="both"/>
      </w:pPr>
    </w:p>
    <w:p w:rsidR="009A748B" w:rsidRPr="00B80A3D" w:rsidRDefault="009A748B" w:rsidP="009A748B">
      <w:pPr>
        <w:spacing w:after="0" w:line="240" w:lineRule="auto"/>
        <w:jc w:val="both"/>
        <w:rPr>
          <w:rFonts w:eastAsia="Times New Roman" w:cs="Times New Roman"/>
          <w:sz w:val="28"/>
          <w:szCs w:val="28"/>
          <w:lang w:eastAsia="es-ES_tradnl"/>
        </w:rPr>
      </w:pPr>
      <w:r w:rsidRPr="00B80A3D">
        <w:rPr>
          <w:rFonts w:eastAsia="Times New Roman" w:cs="Times New Roman"/>
          <w:sz w:val="28"/>
          <w:szCs w:val="28"/>
          <w:lang w:eastAsia="es-ES_tradnl"/>
        </w:rPr>
        <w:t>Discusión</w:t>
      </w:r>
    </w:p>
    <w:p w:rsidR="009A748B" w:rsidRPr="00B80A3D" w:rsidRDefault="009A748B" w:rsidP="009A748B">
      <w:pPr>
        <w:spacing w:after="0" w:line="240" w:lineRule="auto"/>
        <w:jc w:val="both"/>
        <w:rPr>
          <w:rFonts w:eastAsia="Times New Roman" w:cs="Times New Roman"/>
          <w:sz w:val="28"/>
          <w:szCs w:val="28"/>
          <w:lang w:eastAsia="es-ES_tradnl"/>
        </w:rPr>
      </w:pPr>
    </w:p>
    <w:p w:rsidR="009A748B" w:rsidRDefault="009A748B" w:rsidP="009A748B">
      <w:pPr>
        <w:spacing w:after="0" w:line="240" w:lineRule="auto"/>
        <w:jc w:val="both"/>
        <w:rPr>
          <w:rFonts w:eastAsia="Times New Roman" w:cs="Times New Roman"/>
          <w:sz w:val="24"/>
          <w:szCs w:val="24"/>
          <w:lang w:eastAsia="es-ES_tradnl"/>
        </w:rPr>
      </w:pPr>
      <w:r>
        <w:rPr>
          <w:rFonts w:eastAsia="Times New Roman" w:cs="Times New Roman"/>
          <w:sz w:val="24"/>
          <w:szCs w:val="24"/>
          <w:lang w:eastAsia="es-ES_tradnl"/>
        </w:rPr>
        <w:t xml:space="preserve">El objetivo de la presente investigación fue hacer una observación, y al mismo tiempo un análisis, de la implementación de un nuevo plan de estudios en el Profesorado de Educación Física de Catamarca, abordando el rendimiento académico de los alumnos como eje temático. Como se puede apreciar en el gráfico Nº1,  al cabo de dos años de cursado de la carrera,  el rendimiento académico de los alumnos pertenecientes al plan nuevo es claramente mejor que los alumnos del plan anterior. Este hecho se manifiesta a través de una mayor proporción de alumnos con alto rendimiento académico y una menor proporción de alumnos con bajo rendimiento académico, siendo las diferencias en estas proporciones estadísticamente significativas. </w:t>
      </w: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spacing w:after="0" w:line="240" w:lineRule="auto"/>
        <w:jc w:val="both"/>
        <w:rPr>
          <w:rFonts w:eastAsia="Times New Roman" w:cs="Times New Roman"/>
          <w:sz w:val="24"/>
          <w:szCs w:val="24"/>
          <w:lang w:eastAsia="es-ES_tradnl"/>
        </w:rPr>
      </w:pPr>
      <w:r>
        <w:rPr>
          <w:rFonts w:eastAsia="Times New Roman" w:cs="Times New Roman"/>
          <w:sz w:val="24"/>
          <w:szCs w:val="24"/>
          <w:lang w:eastAsia="es-ES_tradnl"/>
        </w:rPr>
        <w:t>Tal como fue observado en otros estudios, el rendimiento académico en los primeros momentos de una carrera de estudios es crucial para tener éxito durante el transcurso de la misma, y su vez un bajo rendimiento académico puede ser un factor decisivo a la hora de determinar el abandono de los estudios (Osorio et al 2012; Del Carmen Ibarra &amp; Michalus 2013). En tal sentido, el nuevo plan de estudios estaría ayudando a combatir la deserción y promoviendo el éxito en la carrera de estudios de los alumnos del ISEF de Catamarca, cuestiones que hasta el momento mostraban a través del tiempo institucional una clara tendencia a agravarse, es decir que la deserción era cada vez mayor a medida que las cohortes eran más recientes (Gregorat &amp; Peirano 2015).</w:t>
      </w: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spacing w:after="0" w:line="240" w:lineRule="auto"/>
        <w:jc w:val="both"/>
        <w:rPr>
          <w:rFonts w:eastAsia="Times New Roman" w:cs="Times New Roman"/>
          <w:sz w:val="24"/>
          <w:szCs w:val="24"/>
          <w:lang w:eastAsia="es-ES_tradnl"/>
        </w:rPr>
      </w:pPr>
      <w:r>
        <w:rPr>
          <w:rFonts w:eastAsia="Times New Roman" w:cs="Times New Roman"/>
          <w:sz w:val="24"/>
          <w:szCs w:val="24"/>
          <w:lang w:eastAsia="es-ES_tradnl"/>
        </w:rPr>
        <w:lastRenderedPageBreak/>
        <w:t xml:space="preserve">La explicación de la diferenciación del rendimiento académico entre los alumnos de las distintas cohortes puede analizarse teniendo en cuenta el abordaje estratégico implicado en cada uno de los  planes de estudios. Claramente en el nuevo plan de estudios los alumnos mejoran su rendimiento académico por medio principalmente de las materias acreditadas de modo promocional, en detrimento de las materias acreditadas de modo regular, las cuáles muestran una mayor proporción en los alumnos de la cohorte 2013 (gráfico 2). Este hecho tiene que ver con el cambio de reglamentación que permite actualmente a los alumnos del nuevo plan promocionar la totalidad de las materias cursadas, siendo que los alumnos del plan anterior se veían condicionados por cuestiones reglamentarias a promocionar hasta solo tres materias por año de cursado. En efecto,  Aranda et al (2013) observo como los alumnos universitarios mejoraban el rendimiento académico cuando eran empleadas evaluaciones de tipo formativas, en detrimento de las evaluaciones de tipo sumativas. De este modo, puede ser que la razón por la cual el nuevo plan de estudios esté mejorando el rendimiento académico se deba a que permite un modo evaluativo más formativo en las materias que se acreditan como promocionales. Apoyando esta idea, también observamos que la proporción de materias promocionales se diferencio significativamente entre los alumnos de la cohorte 2013, según era su nivel de rendimiento académico, siendo que los alumnos con un alto rendimiento académico tenían mayor proporción de materias promocionadas que los alumnos con bajo rendimiento académico. Por lo tanto,  quizás sea que las evaluaciones sumativas reflejadas en las materias acreditas como regular, predominantes en el plan viejo,  hayan sido el lastre que cargaba el rendimiento académico de los alumnos de dicho plan. </w:t>
      </w:r>
    </w:p>
    <w:p w:rsidR="009A748B" w:rsidRDefault="009A748B" w:rsidP="009A748B">
      <w:pPr>
        <w:spacing w:after="0" w:line="240" w:lineRule="auto"/>
        <w:jc w:val="both"/>
        <w:rPr>
          <w:rFonts w:eastAsia="Times New Roman" w:cs="Times New Roman"/>
          <w:sz w:val="24"/>
          <w:szCs w:val="24"/>
          <w:lang w:eastAsia="es-ES_tradnl"/>
        </w:rPr>
      </w:pPr>
    </w:p>
    <w:p w:rsidR="009A748B" w:rsidRDefault="009A748B" w:rsidP="009A748B">
      <w:pPr>
        <w:jc w:val="both"/>
        <w:rPr>
          <w:sz w:val="28"/>
          <w:szCs w:val="28"/>
        </w:rPr>
      </w:pPr>
      <w:r w:rsidRPr="00014647">
        <w:rPr>
          <w:sz w:val="28"/>
          <w:szCs w:val="28"/>
        </w:rPr>
        <w:t>Bibliografía</w:t>
      </w: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Aranda, A. F., Pastor, V. M. L., Oliva, F. J. C., &amp; Romero, R. (2013). La evaluación formativa en docencia universitaria y el rendimiento académico del alumnado. </w:t>
      </w:r>
      <w:r w:rsidRPr="00AD1090">
        <w:rPr>
          <w:rFonts w:eastAsia="Times New Roman" w:cs="Times New Roman"/>
          <w:i/>
          <w:iCs/>
          <w:lang w:eastAsia="es-ES_tradnl"/>
        </w:rPr>
        <w:t>Aula Abierta</w:t>
      </w:r>
      <w:r w:rsidRPr="00AD1090">
        <w:rPr>
          <w:rFonts w:eastAsia="Times New Roman" w:cs="Times New Roman"/>
          <w:lang w:eastAsia="es-ES_tradnl"/>
        </w:rPr>
        <w:t xml:space="preserve">, </w:t>
      </w:r>
      <w:r w:rsidRPr="00AD1090">
        <w:rPr>
          <w:rFonts w:eastAsia="Times New Roman" w:cs="Times New Roman"/>
          <w:i/>
          <w:iCs/>
          <w:lang w:eastAsia="es-ES_tradnl"/>
        </w:rPr>
        <w:t>41</w:t>
      </w:r>
      <w:r w:rsidRPr="00AD1090">
        <w:rPr>
          <w:rFonts w:eastAsia="Times New Roman" w:cs="Times New Roman"/>
          <w:lang w:eastAsia="es-ES_tradnl"/>
        </w:rPr>
        <w:t>(2), 23-34.</w:t>
      </w:r>
    </w:p>
    <w:p w:rsidR="009A748B" w:rsidRPr="00AD1090" w:rsidRDefault="009A748B" w:rsidP="009A748B">
      <w:pPr>
        <w:spacing w:after="0" w:line="240" w:lineRule="auto"/>
        <w:jc w:val="both"/>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Cascón, I. (2000). Análisis de las calificaciones escolares como criterio de rendimiento académico. </w:t>
      </w:r>
      <w:proofErr w:type="gramStart"/>
      <w:r w:rsidRPr="00AD1090">
        <w:rPr>
          <w:rFonts w:eastAsia="Times New Roman" w:cs="Times New Roman"/>
          <w:iCs/>
          <w:lang w:eastAsia="es-ES_tradnl"/>
        </w:rPr>
        <w:t>red</w:t>
      </w:r>
      <w:proofErr w:type="gramEnd"/>
      <w:r w:rsidRPr="00AD1090">
        <w:rPr>
          <w:rFonts w:eastAsia="Times New Roman" w:cs="Times New Roman"/>
          <w:iCs/>
          <w:lang w:eastAsia="es-ES_tradnl"/>
        </w:rPr>
        <w:t xml:space="preserve">. Recuperado en: http://www3. </w:t>
      </w:r>
      <w:proofErr w:type="gramStart"/>
      <w:r w:rsidRPr="00AD1090">
        <w:rPr>
          <w:rFonts w:eastAsia="Times New Roman" w:cs="Times New Roman"/>
          <w:iCs/>
          <w:lang w:eastAsia="es-ES_tradnl"/>
        </w:rPr>
        <w:t>usal</w:t>
      </w:r>
      <w:proofErr w:type="gramEnd"/>
      <w:r w:rsidRPr="00AD1090">
        <w:rPr>
          <w:rFonts w:eastAsia="Times New Roman" w:cs="Times New Roman"/>
          <w:iCs/>
          <w:lang w:eastAsia="es-ES_tradnl"/>
        </w:rPr>
        <w:t xml:space="preserve">. es./inico/investigacion/jornadas/jornada2/comunc/cl7. </w:t>
      </w:r>
      <w:proofErr w:type="gramStart"/>
      <w:r w:rsidRPr="00AD1090">
        <w:rPr>
          <w:rFonts w:eastAsia="Times New Roman" w:cs="Times New Roman"/>
          <w:iCs/>
          <w:lang w:eastAsia="es-ES_tradnl"/>
        </w:rPr>
        <w:t>html</w:t>
      </w:r>
      <w:proofErr w:type="gramEnd"/>
      <w:r w:rsidRPr="00AD1090">
        <w:rPr>
          <w:rFonts w:eastAsia="Times New Roman" w:cs="Times New Roman"/>
          <w:lang w:eastAsia="es-ES_tradnl"/>
        </w:rPr>
        <w:t>.</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Castro Solano, A. y Casullo, M. M</w:t>
      </w:r>
      <w:proofErr w:type="gramStart"/>
      <w:r w:rsidRPr="00AD1090">
        <w:rPr>
          <w:rFonts w:eastAsia="Times New Roman" w:cs="Times New Roman"/>
          <w:lang w:eastAsia="es-ES_tradnl"/>
        </w:rPr>
        <w:t>.(</w:t>
      </w:r>
      <w:proofErr w:type="gramEnd"/>
      <w:r w:rsidRPr="00AD1090">
        <w:rPr>
          <w:rFonts w:eastAsia="Times New Roman" w:cs="Times New Roman"/>
          <w:lang w:eastAsia="es-ES_tradnl"/>
        </w:rPr>
        <w:t>2002). Predictores del rendimiento académico y militar de cadetes argentinos. Anales de psicología. Vol. 18, No. 2, Pp. 247-259.</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Cruz, L. E. G., &amp; Gómez, D. E. G. (2005). Determinantes del rendimiento académico y la deserción estudiantil, en el programa de Economía de la Pontificia Universidad Javeriana de Cali1. </w:t>
      </w:r>
      <w:r w:rsidRPr="00AD1090">
        <w:rPr>
          <w:rFonts w:eastAsia="Times New Roman" w:cs="Times New Roman"/>
          <w:i/>
          <w:iCs/>
          <w:lang w:eastAsia="es-ES_tradnl"/>
        </w:rPr>
        <w:t>Econ. Gest. Desarro. Cali (Colombia)</w:t>
      </w:r>
      <w:r w:rsidRPr="00AD1090">
        <w:rPr>
          <w:rFonts w:eastAsia="Times New Roman" w:cs="Times New Roman"/>
          <w:lang w:eastAsia="es-ES_tradnl"/>
        </w:rPr>
        <w:t>, (3), 173-201.</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Del Carmen Ibarra, M., &amp; Michalus, J. C. (2014). Análisis del rendimiento académico mediante un modelo Logit. </w:t>
      </w:r>
      <w:r w:rsidRPr="00AD1090">
        <w:rPr>
          <w:rFonts w:eastAsia="Times New Roman" w:cs="Times New Roman"/>
          <w:i/>
          <w:iCs/>
          <w:lang w:eastAsia="es-ES_tradnl"/>
        </w:rPr>
        <w:t>Revista Ingeniería Industrial</w:t>
      </w:r>
      <w:r w:rsidRPr="00AD1090">
        <w:rPr>
          <w:rFonts w:eastAsia="Times New Roman" w:cs="Times New Roman"/>
          <w:lang w:eastAsia="es-ES_tradnl"/>
        </w:rPr>
        <w:t xml:space="preserve">, </w:t>
      </w:r>
      <w:r w:rsidRPr="00AD1090">
        <w:rPr>
          <w:rFonts w:eastAsia="Times New Roman" w:cs="Times New Roman"/>
          <w:i/>
          <w:iCs/>
          <w:lang w:eastAsia="es-ES_tradnl"/>
        </w:rPr>
        <w:t>9</w:t>
      </w:r>
      <w:r w:rsidRPr="00AD1090">
        <w:rPr>
          <w:rFonts w:eastAsia="Times New Roman" w:cs="Times New Roman"/>
          <w:lang w:eastAsia="es-ES_tradnl"/>
        </w:rPr>
        <w:t>(2).</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Gregorat, J. J., Soria, L., Carrizo, M. E., &amp; Avalos, C. (2007). Rendimiento académico de alumnos del ISEF de Catamarca y su relación con indicadores socioeconómicos y las pruebas del curso de ingreso. </w:t>
      </w:r>
      <w:r w:rsidRPr="00AD1090">
        <w:rPr>
          <w:rFonts w:eastAsia="Times New Roman" w:cs="Times New Roman"/>
          <w:i/>
          <w:iCs/>
          <w:lang w:eastAsia="es-ES_tradnl"/>
        </w:rPr>
        <w:t>Lecturas: Educación física y deportes</w:t>
      </w:r>
      <w:r w:rsidRPr="00AD1090">
        <w:rPr>
          <w:rFonts w:eastAsia="Times New Roman" w:cs="Times New Roman"/>
          <w:lang w:eastAsia="es-ES_tradnl"/>
        </w:rPr>
        <w:t>, (114), 55.</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lastRenderedPageBreak/>
        <w:t>Gregorat, J; Peirano V. (2015) Evaluación de la tasa de graduación en el Instituto Superior de Educación Física de Catamarca.</w:t>
      </w:r>
      <w:r w:rsidRPr="00AD1090">
        <w:rPr>
          <w:rFonts w:cs="Arial"/>
          <w:bCs/>
          <w:iCs/>
        </w:rPr>
        <w:t xml:space="preserve"> Lecturas Educación Física y Deportes. </w:t>
      </w:r>
      <w:r w:rsidRPr="00AD1090">
        <w:rPr>
          <w:rFonts w:cs="Arial"/>
          <w:bCs/>
        </w:rPr>
        <w:t>Año 19, Nº 201.</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Jimenez Hernández, M. (1994). Competencia social: intervención preventiva en la escuela. </w:t>
      </w:r>
      <w:r w:rsidRPr="00AD1090">
        <w:rPr>
          <w:rFonts w:eastAsia="Times New Roman" w:cs="Times New Roman"/>
          <w:i/>
          <w:iCs/>
          <w:lang w:eastAsia="es-ES_tradnl"/>
        </w:rPr>
        <w:t>Infancia y Sociedad: Revista de Estudios</w:t>
      </w:r>
      <w:r w:rsidRPr="00AD1090">
        <w:rPr>
          <w:rFonts w:eastAsia="Times New Roman" w:cs="Times New Roman"/>
          <w:lang w:eastAsia="es-ES_tradnl"/>
        </w:rPr>
        <w:t>, (24), 21-48.</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Martínez, J. R., &amp; Galán, F. (2000). Estrategias de aprendizaje, motivación y rendimiento académico en alumnos universitarios. </w:t>
      </w:r>
      <w:r w:rsidRPr="00AD1090">
        <w:rPr>
          <w:rFonts w:eastAsia="Times New Roman" w:cs="Times New Roman"/>
          <w:i/>
          <w:iCs/>
          <w:lang w:eastAsia="es-ES_tradnl"/>
        </w:rPr>
        <w:t>Revista Española de Orientación y Psicopedagogía</w:t>
      </w:r>
      <w:r w:rsidRPr="00AD1090">
        <w:rPr>
          <w:rFonts w:eastAsia="Times New Roman" w:cs="Times New Roman"/>
          <w:lang w:eastAsia="es-ES_tradnl"/>
        </w:rPr>
        <w:t xml:space="preserve">, </w:t>
      </w:r>
      <w:r w:rsidRPr="00AD1090">
        <w:rPr>
          <w:rFonts w:eastAsia="Times New Roman" w:cs="Times New Roman"/>
          <w:i/>
          <w:iCs/>
          <w:lang w:eastAsia="es-ES_tradnl"/>
        </w:rPr>
        <w:t>11</w:t>
      </w:r>
      <w:r w:rsidRPr="00AD1090">
        <w:rPr>
          <w:rFonts w:eastAsia="Times New Roman" w:cs="Times New Roman"/>
          <w:lang w:eastAsia="es-ES_tradnl"/>
        </w:rPr>
        <w:t>(19), 35-50.</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Osorio, A. M., Bolancé, C., &amp; Caicedo, M. C. (2012). Deserción y graduación estudiantil universitaria: una aplicación de los modelos de supervivencia. </w:t>
      </w:r>
      <w:r w:rsidRPr="00AD1090">
        <w:rPr>
          <w:rFonts w:eastAsia="Times New Roman" w:cs="Times New Roman"/>
          <w:i/>
          <w:iCs/>
          <w:lang w:eastAsia="es-ES_tradnl"/>
        </w:rPr>
        <w:t>Revista Iberoamericana de Educación Superior</w:t>
      </w:r>
      <w:r w:rsidRPr="00AD1090">
        <w:rPr>
          <w:rFonts w:eastAsia="Times New Roman" w:cs="Times New Roman"/>
          <w:lang w:eastAsia="es-ES_tradnl"/>
        </w:rPr>
        <w:t xml:space="preserve">, </w:t>
      </w:r>
      <w:r w:rsidRPr="00AD1090">
        <w:rPr>
          <w:rFonts w:eastAsia="Times New Roman" w:cs="Times New Roman"/>
          <w:i/>
          <w:iCs/>
          <w:lang w:eastAsia="es-ES_tradnl"/>
        </w:rPr>
        <w:t>3</w:t>
      </w:r>
      <w:r w:rsidRPr="00AD1090">
        <w:rPr>
          <w:rFonts w:eastAsia="Times New Roman" w:cs="Times New Roman"/>
          <w:lang w:eastAsia="es-ES_tradnl"/>
        </w:rPr>
        <w:t>(6).</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Porto, A., &amp; Di Gresia, L. (2004). Rendimiento de estudiantes universitarios y sus determinantes. </w:t>
      </w:r>
      <w:r w:rsidRPr="00AD1090">
        <w:rPr>
          <w:rFonts w:eastAsia="Times New Roman" w:cs="Times New Roman"/>
          <w:i/>
          <w:iCs/>
          <w:lang w:eastAsia="es-ES_tradnl"/>
        </w:rPr>
        <w:t>Revista de Economía y Estadística</w:t>
      </w:r>
      <w:r w:rsidRPr="00AD1090">
        <w:rPr>
          <w:rFonts w:eastAsia="Times New Roman" w:cs="Times New Roman"/>
          <w:lang w:eastAsia="es-ES_tradnl"/>
        </w:rPr>
        <w:t xml:space="preserve">, </w:t>
      </w:r>
      <w:r w:rsidRPr="00AD1090">
        <w:rPr>
          <w:rFonts w:eastAsia="Times New Roman" w:cs="Times New Roman"/>
          <w:i/>
          <w:iCs/>
          <w:lang w:eastAsia="es-ES_tradnl"/>
        </w:rPr>
        <w:t>42</w:t>
      </w:r>
      <w:r w:rsidRPr="00AD1090">
        <w:rPr>
          <w:rFonts w:eastAsia="Times New Roman" w:cs="Times New Roman"/>
          <w:lang w:eastAsia="es-ES_tradnl"/>
        </w:rPr>
        <w:t>(1), 93-113.</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Renault, G., Cortada de Kohan, N., &amp; Castro Solano, A. (2014). Factores que intervienen en el rendimiento académico de los estudiantes de psicología y psicopedagogía. </w:t>
      </w:r>
      <w:r w:rsidRPr="00AD1090">
        <w:rPr>
          <w:rFonts w:eastAsia="Times New Roman" w:cs="Times New Roman"/>
          <w:i/>
          <w:iCs/>
          <w:lang w:eastAsia="es-ES_tradnl"/>
        </w:rPr>
        <w:t>Signos Universitarios</w:t>
      </w:r>
      <w:r w:rsidRPr="00AD1090">
        <w:rPr>
          <w:rFonts w:eastAsia="Times New Roman" w:cs="Times New Roman"/>
          <w:lang w:eastAsia="es-ES_tradnl"/>
        </w:rPr>
        <w:t xml:space="preserve">, </w:t>
      </w:r>
      <w:r w:rsidRPr="00AD1090">
        <w:rPr>
          <w:rFonts w:eastAsia="Times New Roman" w:cs="Times New Roman"/>
          <w:i/>
          <w:iCs/>
          <w:lang w:eastAsia="es-ES_tradnl"/>
        </w:rPr>
        <w:t>27</w:t>
      </w:r>
      <w:r w:rsidRPr="00AD1090">
        <w:rPr>
          <w:rFonts w:eastAsia="Times New Roman" w:cs="Times New Roman"/>
          <w:lang w:eastAsia="es-ES_tradnl"/>
        </w:rPr>
        <w:t>(43).</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Ruiz, G. (2009). Determinantes del rendimiento Académico. </w:t>
      </w:r>
      <w:r w:rsidRPr="00AD1090">
        <w:rPr>
          <w:rFonts w:eastAsia="Times New Roman" w:cs="Times New Roman"/>
          <w:i/>
          <w:iCs/>
          <w:lang w:eastAsia="es-ES_tradnl"/>
        </w:rPr>
        <w:t>Revista Tecnociencia Universitaria Bolivia</w:t>
      </w:r>
      <w:r w:rsidRPr="00AD1090">
        <w:rPr>
          <w:rFonts w:eastAsia="Times New Roman" w:cs="Times New Roman"/>
          <w:lang w:eastAsia="es-ES_tradnl"/>
        </w:rPr>
        <w:t xml:space="preserve">, </w:t>
      </w:r>
      <w:r w:rsidRPr="00AD1090">
        <w:rPr>
          <w:rFonts w:eastAsia="Times New Roman" w:cs="Times New Roman"/>
          <w:i/>
          <w:iCs/>
          <w:lang w:eastAsia="es-ES_tradnl"/>
        </w:rPr>
        <w:t>7</w:t>
      </w:r>
      <w:r w:rsidRPr="00AD1090">
        <w:rPr>
          <w:rFonts w:eastAsia="Times New Roman" w:cs="Times New Roman"/>
          <w:lang w:eastAsia="es-ES_tradnl"/>
        </w:rPr>
        <w:t>, 24.</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Tejedor, F. J. T., &amp; Muñoz-Repiso, A. G. V. (2007). Causas del bajo rendimiento del estudiante universitario (en opinión de los profesores y alumnos): propuestas de mejora en el marco del EEES. </w:t>
      </w:r>
      <w:r w:rsidRPr="00AD1090">
        <w:rPr>
          <w:rFonts w:eastAsia="Times New Roman" w:cs="Times New Roman"/>
          <w:i/>
          <w:iCs/>
          <w:lang w:eastAsia="es-ES_tradnl"/>
        </w:rPr>
        <w:t>Revista de Educación</w:t>
      </w:r>
      <w:r w:rsidRPr="00AD1090">
        <w:rPr>
          <w:rFonts w:eastAsia="Times New Roman" w:cs="Times New Roman"/>
          <w:lang w:eastAsia="es-ES_tradnl"/>
        </w:rPr>
        <w:t>, (342), 419-442.</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rPr>
          <w:rFonts w:eastAsia="Times New Roman" w:cs="Times New Roman"/>
          <w:lang w:eastAsia="es-ES_tradnl"/>
        </w:rPr>
      </w:pPr>
      <w:r w:rsidRPr="00AD1090">
        <w:rPr>
          <w:rFonts w:eastAsia="Times New Roman" w:cs="Times New Roman"/>
          <w:lang w:eastAsia="es-ES_tradnl"/>
        </w:rPr>
        <w:t xml:space="preserve">Vargas, G. M. G. (2007). Factores asociados al rendimiento académico en estudiantes universitarios, una reflexión desde la calidad de la educación superior pública. </w:t>
      </w:r>
      <w:r w:rsidRPr="00AD1090">
        <w:rPr>
          <w:rFonts w:eastAsia="Times New Roman" w:cs="Times New Roman"/>
          <w:iCs/>
          <w:lang w:eastAsia="es-ES_tradnl"/>
        </w:rPr>
        <w:t>Revista Educación</w:t>
      </w:r>
      <w:r w:rsidRPr="00AD1090">
        <w:rPr>
          <w:rFonts w:eastAsia="Times New Roman" w:cs="Times New Roman"/>
          <w:lang w:eastAsia="es-ES_tradnl"/>
        </w:rPr>
        <w:t xml:space="preserve">, </w:t>
      </w:r>
      <w:r w:rsidRPr="00AD1090">
        <w:rPr>
          <w:rFonts w:eastAsia="Times New Roman" w:cs="Times New Roman"/>
          <w:iCs/>
          <w:lang w:eastAsia="es-ES_tradnl"/>
        </w:rPr>
        <w:t>31</w:t>
      </w:r>
      <w:r w:rsidRPr="00AD1090">
        <w:rPr>
          <w:rFonts w:eastAsia="Times New Roman" w:cs="Times New Roman"/>
          <w:lang w:eastAsia="es-ES_tradnl"/>
        </w:rPr>
        <w:t>(1), 43-63.</w:t>
      </w:r>
    </w:p>
    <w:p w:rsidR="009A748B" w:rsidRPr="00AD1090" w:rsidRDefault="009A748B" w:rsidP="009A748B">
      <w:pPr>
        <w:spacing w:after="0" w:line="240" w:lineRule="auto"/>
        <w:jc w:val="both"/>
        <w:rPr>
          <w:rFonts w:eastAsia="Times New Roman" w:cs="Times New Roman"/>
          <w:lang w:eastAsia="es-ES_tradnl"/>
        </w:rPr>
      </w:pPr>
    </w:p>
    <w:p w:rsidR="009A748B" w:rsidRPr="00AD1090" w:rsidRDefault="009A748B" w:rsidP="009A748B">
      <w:pPr>
        <w:spacing w:after="0" w:line="240" w:lineRule="auto"/>
        <w:jc w:val="both"/>
      </w:pPr>
      <w:r w:rsidRPr="00AD1090">
        <w:rPr>
          <w:rFonts w:eastAsia="Times New Roman" w:cs="Times New Roman"/>
          <w:lang w:eastAsia="es-ES_tradnl"/>
        </w:rPr>
        <w:t xml:space="preserve">Velázquez, L. E., &amp; Rodríguez, N. Y. (2006). Rendimiento académico y contexto familiar en estudiantes universitarios. </w:t>
      </w:r>
      <w:r w:rsidRPr="00AD1090">
        <w:rPr>
          <w:rFonts w:eastAsia="Times New Roman" w:cs="Times New Roman"/>
          <w:iCs/>
          <w:lang w:eastAsia="es-ES_tradnl"/>
        </w:rPr>
        <w:t>Enseñanza e investigación en psicología</w:t>
      </w:r>
      <w:r w:rsidRPr="00AD1090">
        <w:rPr>
          <w:rFonts w:eastAsia="Times New Roman" w:cs="Times New Roman"/>
          <w:lang w:eastAsia="es-ES_tradnl"/>
        </w:rPr>
        <w:t xml:space="preserve">, </w:t>
      </w:r>
      <w:r w:rsidRPr="00AD1090">
        <w:rPr>
          <w:rFonts w:eastAsia="Times New Roman" w:cs="Times New Roman"/>
          <w:iCs/>
          <w:lang w:eastAsia="es-ES_tradnl"/>
        </w:rPr>
        <w:t>11</w:t>
      </w:r>
      <w:r w:rsidRPr="00AD1090">
        <w:rPr>
          <w:rFonts w:eastAsia="Times New Roman" w:cs="Times New Roman"/>
          <w:lang w:eastAsia="es-ES_tradnl"/>
        </w:rPr>
        <w:t>(2), 255-270.</w:t>
      </w:r>
    </w:p>
    <w:p w:rsidR="009A748B" w:rsidRDefault="009A748B" w:rsidP="009A748B">
      <w:pPr>
        <w:spacing w:after="0" w:line="240" w:lineRule="auto"/>
        <w:jc w:val="both"/>
        <w:rPr>
          <w:rFonts w:eastAsia="Times New Roman" w:cs="Times New Roman"/>
          <w:sz w:val="24"/>
          <w:szCs w:val="24"/>
          <w:lang w:eastAsia="es-ES_tradnl"/>
        </w:rPr>
      </w:pPr>
    </w:p>
    <w:p w:rsidR="005C3601" w:rsidRDefault="005C3601"/>
    <w:sectPr w:rsidR="005C3601" w:rsidSect="005C36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A748B"/>
    <w:rsid w:val="005C3601"/>
    <w:rsid w:val="007B3B6A"/>
    <w:rsid w:val="009A748B"/>
    <w:rsid w:val="00B25D62"/>
    <w:rsid w:val="00F91A1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7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_tradnl"/>
  <c:chart>
    <c:title>
      <c:tx>
        <c:rich>
          <a:bodyPr/>
          <a:lstStyle/>
          <a:p>
            <a:pPr>
              <a:defRPr sz="1400"/>
            </a:pPr>
            <a:r>
              <a:rPr lang="es-ES_tradnl" sz="1400"/>
              <a:t>Rendimiento</a:t>
            </a:r>
            <a:r>
              <a:rPr lang="es-ES_tradnl" sz="1400" baseline="0"/>
              <a:t> Academico de alumnos de ISEF en diferentes planes de estudio ( cohorte 2013 n=148; cohorte 2014 n=154) </a:t>
            </a:r>
            <a:endParaRPr lang="es-ES_tradnl" sz="1400"/>
          </a:p>
        </c:rich>
      </c:tx>
    </c:title>
    <c:plotArea>
      <c:layout/>
      <c:barChart>
        <c:barDir val="col"/>
        <c:grouping val="clustered"/>
        <c:ser>
          <c:idx val="0"/>
          <c:order val="0"/>
          <c:tx>
            <c:strRef>
              <c:f>Hoja1!$B$1</c:f>
              <c:strCache>
                <c:ptCount val="1"/>
                <c:pt idx="0">
                  <c:v>RA alto</c:v>
                </c:pt>
              </c:strCache>
            </c:strRef>
          </c:tx>
          <c:cat>
            <c:strRef>
              <c:f>Hoja1!$A$2:$A$3</c:f>
              <c:strCache>
                <c:ptCount val="2"/>
                <c:pt idx="0">
                  <c:v>cohorte2014</c:v>
                </c:pt>
                <c:pt idx="1">
                  <c:v>cohorte2013</c:v>
                </c:pt>
              </c:strCache>
            </c:strRef>
          </c:cat>
          <c:val>
            <c:numRef>
              <c:f>Hoja1!$B$2:$B$3</c:f>
              <c:numCache>
                <c:formatCode>General</c:formatCode>
                <c:ptCount val="2"/>
                <c:pt idx="0">
                  <c:v>40</c:v>
                </c:pt>
                <c:pt idx="1">
                  <c:v>13</c:v>
                </c:pt>
              </c:numCache>
            </c:numRef>
          </c:val>
        </c:ser>
        <c:ser>
          <c:idx val="1"/>
          <c:order val="1"/>
          <c:tx>
            <c:strRef>
              <c:f>Hoja1!$C$1</c:f>
              <c:strCache>
                <c:ptCount val="1"/>
                <c:pt idx="0">
                  <c:v>RA intermedio</c:v>
                </c:pt>
              </c:strCache>
            </c:strRef>
          </c:tx>
          <c:cat>
            <c:strRef>
              <c:f>Hoja1!$A$2:$A$3</c:f>
              <c:strCache>
                <c:ptCount val="2"/>
                <c:pt idx="0">
                  <c:v>cohorte2014</c:v>
                </c:pt>
                <c:pt idx="1">
                  <c:v>cohorte2013</c:v>
                </c:pt>
              </c:strCache>
            </c:strRef>
          </c:cat>
          <c:val>
            <c:numRef>
              <c:f>Hoja1!$C$2:$C$3</c:f>
              <c:numCache>
                <c:formatCode>General</c:formatCode>
                <c:ptCount val="2"/>
                <c:pt idx="0">
                  <c:v>41</c:v>
                </c:pt>
                <c:pt idx="1">
                  <c:v>36</c:v>
                </c:pt>
              </c:numCache>
            </c:numRef>
          </c:val>
        </c:ser>
        <c:ser>
          <c:idx val="2"/>
          <c:order val="2"/>
          <c:tx>
            <c:strRef>
              <c:f>Hoja1!$D$1</c:f>
              <c:strCache>
                <c:ptCount val="1"/>
                <c:pt idx="0">
                  <c:v>RA bajo</c:v>
                </c:pt>
              </c:strCache>
            </c:strRef>
          </c:tx>
          <c:cat>
            <c:strRef>
              <c:f>Hoja1!$A$2:$A$3</c:f>
              <c:strCache>
                <c:ptCount val="2"/>
                <c:pt idx="0">
                  <c:v>cohorte2014</c:v>
                </c:pt>
                <c:pt idx="1">
                  <c:v>cohorte2013</c:v>
                </c:pt>
              </c:strCache>
            </c:strRef>
          </c:cat>
          <c:val>
            <c:numRef>
              <c:f>Hoja1!$D$2:$D$3</c:f>
              <c:numCache>
                <c:formatCode>General</c:formatCode>
                <c:ptCount val="2"/>
                <c:pt idx="0">
                  <c:v>49</c:v>
                </c:pt>
                <c:pt idx="1">
                  <c:v>71</c:v>
                </c:pt>
              </c:numCache>
            </c:numRef>
          </c:val>
        </c:ser>
        <c:ser>
          <c:idx val="3"/>
          <c:order val="3"/>
          <c:tx>
            <c:strRef>
              <c:f>Hoja1!$E$1</c:f>
              <c:strCache>
                <c:ptCount val="1"/>
                <c:pt idx="0">
                  <c:v>Abandonico</c:v>
                </c:pt>
              </c:strCache>
            </c:strRef>
          </c:tx>
          <c:cat>
            <c:strRef>
              <c:f>Hoja1!$A$2:$A$3</c:f>
              <c:strCache>
                <c:ptCount val="2"/>
                <c:pt idx="0">
                  <c:v>cohorte2014</c:v>
                </c:pt>
                <c:pt idx="1">
                  <c:v>cohorte2013</c:v>
                </c:pt>
              </c:strCache>
            </c:strRef>
          </c:cat>
          <c:val>
            <c:numRef>
              <c:f>Hoja1!$E$2:$E$3</c:f>
              <c:numCache>
                <c:formatCode>General</c:formatCode>
                <c:ptCount val="2"/>
                <c:pt idx="0">
                  <c:v>24</c:v>
                </c:pt>
                <c:pt idx="1">
                  <c:v>28</c:v>
                </c:pt>
              </c:numCache>
            </c:numRef>
          </c:val>
        </c:ser>
        <c:axId val="94141056"/>
        <c:axId val="94205824"/>
      </c:barChart>
      <c:catAx>
        <c:axId val="94141056"/>
        <c:scaling>
          <c:orientation val="minMax"/>
        </c:scaling>
        <c:axPos val="b"/>
        <c:majorTickMark val="none"/>
        <c:tickLblPos val="nextTo"/>
        <c:crossAx val="94205824"/>
        <c:crosses val="autoZero"/>
        <c:auto val="1"/>
        <c:lblAlgn val="ctr"/>
        <c:lblOffset val="100"/>
      </c:catAx>
      <c:valAx>
        <c:axId val="94205824"/>
        <c:scaling>
          <c:orientation val="minMax"/>
        </c:scaling>
        <c:axPos val="l"/>
        <c:majorGridlines/>
        <c:numFmt formatCode="General" sourceLinked="1"/>
        <c:majorTickMark val="none"/>
        <c:tickLblPos val="nextTo"/>
        <c:crossAx val="94141056"/>
        <c:crosses val="autoZero"/>
        <c:crossBetween val="between"/>
      </c:valAx>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_tradnl"/>
  <c:chart>
    <c:title>
      <c:tx>
        <c:rich>
          <a:bodyPr/>
          <a:lstStyle/>
          <a:p>
            <a:pPr>
              <a:defRPr/>
            </a:pPr>
            <a:r>
              <a:rPr lang="es-ES_tradnl" sz="1400" baseline="0"/>
              <a:t>Rendimiento academico en alumnos de distintos planes de estudio en función al tipo de acreditación de las materias</a:t>
            </a:r>
            <a:endParaRPr lang="es-ES_tradnl" sz="1400"/>
          </a:p>
        </c:rich>
      </c:tx>
    </c:title>
    <c:plotArea>
      <c:layout/>
      <c:barChart>
        <c:barDir val="col"/>
        <c:grouping val="clustered"/>
        <c:ser>
          <c:idx val="0"/>
          <c:order val="0"/>
          <c:tx>
            <c:strRef>
              <c:f>Hoja1!$B$1</c:f>
              <c:strCache>
                <c:ptCount val="1"/>
                <c:pt idx="0">
                  <c:v>Libres</c:v>
                </c:pt>
              </c:strCache>
            </c:strRef>
          </c:tx>
          <c:cat>
            <c:strRef>
              <c:f>Hoja1!$A$2:$A$5</c:f>
              <c:strCache>
                <c:ptCount val="4"/>
                <c:pt idx="0">
                  <c:v>RA Alto2013</c:v>
                </c:pt>
                <c:pt idx="1">
                  <c:v>RA Bajo2013</c:v>
                </c:pt>
                <c:pt idx="2">
                  <c:v>RA Alto2014</c:v>
                </c:pt>
                <c:pt idx="3">
                  <c:v>RA Bajo2014</c:v>
                </c:pt>
              </c:strCache>
            </c:strRef>
          </c:cat>
          <c:val>
            <c:numRef>
              <c:f>Hoja1!$B$2:$B$5</c:f>
              <c:numCache>
                <c:formatCode>General</c:formatCode>
                <c:ptCount val="4"/>
                <c:pt idx="0">
                  <c:v>5.0999999999999996</c:v>
                </c:pt>
                <c:pt idx="1">
                  <c:v>3.8</c:v>
                </c:pt>
                <c:pt idx="2">
                  <c:v>4</c:v>
                </c:pt>
                <c:pt idx="3">
                  <c:v>4</c:v>
                </c:pt>
              </c:numCache>
            </c:numRef>
          </c:val>
        </c:ser>
        <c:ser>
          <c:idx val="1"/>
          <c:order val="1"/>
          <c:tx>
            <c:strRef>
              <c:f>Hoja1!$C$1</c:f>
              <c:strCache>
                <c:ptCount val="1"/>
                <c:pt idx="0">
                  <c:v>Regulares</c:v>
                </c:pt>
              </c:strCache>
            </c:strRef>
          </c:tx>
          <c:cat>
            <c:strRef>
              <c:f>Hoja1!$A$2:$A$5</c:f>
              <c:strCache>
                <c:ptCount val="4"/>
                <c:pt idx="0">
                  <c:v>RA Alto2013</c:v>
                </c:pt>
                <c:pt idx="1">
                  <c:v>RA Bajo2013</c:v>
                </c:pt>
                <c:pt idx="2">
                  <c:v>RA Alto2014</c:v>
                </c:pt>
                <c:pt idx="3">
                  <c:v>RA Bajo2014</c:v>
                </c:pt>
              </c:strCache>
            </c:strRef>
          </c:cat>
          <c:val>
            <c:numRef>
              <c:f>Hoja1!$C$2:$C$5</c:f>
              <c:numCache>
                <c:formatCode>General</c:formatCode>
                <c:ptCount val="4"/>
                <c:pt idx="0">
                  <c:v>59</c:v>
                </c:pt>
                <c:pt idx="1">
                  <c:v>16</c:v>
                </c:pt>
                <c:pt idx="2">
                  <c:v>35</c:v>
                </c:pt>
                <c:pt idx="3">
                  <c:v>10</c:v>
                </c:pt>
              </c:numCache>
            </c:numRef>
          </c:val>
        </c:ser>
        <c:ser>
          <c:idx val="2"/>
          <c:order val="2"/>
          <c:tx>
            <c:strRef>
              <c:f>Hoja1!$D$1</c:f>
              <c:strCache>
                <c:ptCount val="1"/>
                <c:pt idx="0">
                  <c:v>Promocion</c:v>
                </c:pt>
              </c:strCache>
            </c:strRef>
          </c:tx>
          <c:cat>
            <c:strRef>
              <c:f>Hoja1!$A$2:$A$5</c:f>
              <c:strCache>
                <c:ptCount val="4"/>
                <c:pt idx="0">
                  <c:v>RA Alto2013</c:v>
                </c:pt>
                <c:pt idx="1">
                  <c:v>RA Bajo2013</c:v>
                </c:pt>
                <c:pt idx="2">
                  <c:v>RA Alto2014</c:v>
                </c:pt>
                <c:pt idx="3">
                  <c:v>RA Bajo2014</c:v>
                </c:pt>
              </c:strCache>
            </c:strRef>
          </c:cat>
          <c:val>
            <c:numRef>
              <c:f>Hoja1!$D$2:$D$5</c:f>
              <c:numCache>
                <c:formatCode>General</c:formatCode>
                <c:ptCount val="4"/>
                <c:pt idx="0">
                  <c:v>24</c:v>
                </c:pt>
                <c:pt idx="1">
                  <c:v>11</c:v>
                </c:pt>
                <c:pt idx="2">
                  <c:v>64</c:v>
                </c:pt>
                <c:pt idx="3">
                  <c:v>32</c:v>
                </c:pt>
              </c:numCache>
            </c:numRef>
          </c:val>
        </c:ser>
        <c:gapWidth val="75"/>
        <c:overlap val="-25"/>
        <c:axId val="69799936"/>
        <c:axId val="69801472"/>
      </c:barChart>
      <c:catAx>
        <c:axId val="69799936"/>
        <c:scaling>
          <c:orientation val="minMax"/>
        </c:scaling>
        <c:axPos val="b"/>
        <c:majorTickMark val="none"/>
        <c:tickLblPos val="nextTo"/>
        <c:crossAx val="69801472"/>
        <c:crosses val="autoZero"/>
        <c:auto val="1"/>
        <c:lblAlgn val="ctr"/>
        <c:lblOffset val="100"/>
      </c:catAx>
      <c:valAx>
        <c:axId val="69801472"/>
        <c:scaling>
          <c:orientation val="minMax"/>
        </c:scaling>
        <c:axPos val="l"/>
        <c:majorGridlines/>
        <c:numFmt formatCode="General" sourceLinked="1"/>
        <c:majorTickMark val="none"/>
        <c:tickLblPos val="nextTo"/>
        <c:spPr>
          <a:ln w="9525">
            <a:noFill/>
          </a:ln>
        </c:spPr>
        <c:crossAx val="69799936"/>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0.13935</cdr:x>
      <cdr:y>0.51069</cdr:y>
    </cdr:from>
    <cdr:to>
      <cdr:x>0.20814</cdr:x>
      <cdr:y>0.57245</cdr:y>
    </cdr:to>
    <cdr:sp macro="" textlink="">
      <cdr:nvSpPr>
        <cdr:cNvPr id="2" name="1 CuadroTexto"/>
        <cdr:cNvSpPr txBox="1"/>
      </cdr:nvSpPr>
      <cdr:spPr>
        <a:xfrm xmlns:a="http://schemas.openxmlformats.org/drawingml/2006/main">
          <a:off x="752475" y="2047875"/>
          <a:ext cx="37147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ES_tradnl" sz="1100"/>
        </a:p>
      </cdr:txBody>
    </cdr:sp>
  </cdr:relSizeAnchor>
  <cdr:relSizeAnchor xmlns:cdr="http://schemas.openxmlformats.org/drawingml/2006/chartDrawing">
    <cdr:from>
      <cdr:x>0.13053</cdr:x>
      <cdr:y>0.49881</cdr:y>
    </cdr:from>
    <cdr:to>
      <cdr:x>0.29986</cdr:x>
      <cdr:y>0.72684</cdr:y>
    </cdr:to>
    <cdr:sp macro="" textlink="">
      <cdr:nvSpPr>
        <cdr:cNvPr id="3" name="2 CuadroTexto"/>
        <cdr:cNvSpPr txBox="1"/>
      </cdr:nvSpPr>
      <cdr:spPr>
        <a:xfrm xmlns:a="http://schemas.openxmlformats.org/drawingml/2006/main">
          <a:off x="704850" y="2000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400"/>
            <a:t>*</a:t>
          </a:r>
        </a:p>
      </cdr:txBody>
    </cdr:sp>
  </cdr:relSizeAnchor>
  <cdr:relSizeAnchor xmlns:cdr="http://schemas.openxmlformats.org/drawingml/2006/chartDrawing">
    <cdr:from>
      <cdr:x>0.59972</cdr:x>
      <cdr:y>0.23753</cdr:y>
    </cdr:from>
    <cdr:to>
      <cdr:x>0.76905</cdr:x>
      <cdr:y>0.46556</cdr:y>
    </cdr:to>
    <cdr:sp macro="" textlink="">
      <cdr:nvSpPr>
        <cdr:cNvPr id="4" name="3 CuadroTexto"/>
        <cdr:cNvSpPr txBox="1"/>
      </cdr:nvSpPr>
      <cdr:spPr>
        <a:xfrm xmlns:a="http://schemas.openxmlformats.org/drawingml/2006/main">
          <a:off x="3238500" y="9525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4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0.13582</cdr:x>
      <cdr:y>0.23886</cdr:y>
    </cdr:from>
    <cdr:to>
      <cdr:x>0.30515</cdr:x>
      <cdr:y>0.52913</cdr:y>
    </cdr:to>
    <cdr:sp macro="" textlink="">
      <cdr:nvSpPr>
        <cdr:cNvPr id="2" name="1 CuadroTexto"/>
        <cdr:cNvSpPr txBox="1"/>
      </cdr:nvSpPr>
      <cdr:spPr>
        <a:xfrm xmlns:a="http://schemas.openxmlformats.org/drawingml/2006/main">
          <a:off x="733425" y="7524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400"/>
            <a:t>*</a:t>
          </a:r>
        </a:p>
        <a:p xmlns:a="http://schemas.openxmlformats.org/drawingml/2006/main">
          <a:r>
            <a:rPr lang="es-ES_tradnl" sz="1400">
              <a:solidFill>
                <a:srgbClr val="FF0000"/>
              </a:solidFill>
            </a:rPr>
            <a:t>*</a:t>
          </a:r>
        </a:p>
      </cdr:txBody>
    </cdr:sp>
  </cdr:relSizeAnchor>
  <cdr:relSizeAnchor xmlns:cdr="http://schemas.openxmlformats.org/drawingml/2006/chartDrawing">
    <cdr:from>
      <cdr:x>0.56444</cdr:x>
      <cdr:y>0.22677</cdr:y>
    </cdr:from>
    <cdr:to>
      <cdr:x>0.73377</cdr:x>
      <cdr:y>0.51703</cdr:y>
    </cdr:to>
    <cdr:sp macro="" textlink="">
      <cdr:nvSpPr>
        <cdr:cNvPr id="3" name="2 CuadroTexto"/>
        <cdr:cNvSpPr txBox="1"/>
      </cdr:nvSpPr>
      <cdr:spPr>
        <a:xfrm xmlns:a="http://schemas.openxmlformats.org/drawingml/2006/main">
          <a:off x="3048000" y="7143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100"/>
            <a:t>*</a:t>
          </a:r>
        </a:p>
        <a:p xmlns:a="http://schemas.openxmlformats.org/drawingml/2006/main">
          <a:r>
            <a:rPr lang="es-ES_tradnl" sz="1100">
              <a:solidFill>
                <a:srgbClr val="FF0000"/>
              </a:solidFill>
            </a:rPr>
            <a:t>*</a:t>
          </a:r>
        </a:p>
      </cdr:txBody>
    </cdr:sp>
  </cdr:relSizeAnchor>
  <cdr:relSizeAnchor xmlns:cdr="http://schemas.openxmlformats.org/drawingml/2006/chartDrawing">
    <cdr:from>
      <cdr:x>0.19226</cdr:x>
      <cdr:y>0.57146</cdr:y>
    </cdr:from>
    <cdr:to>
      <cdr:x>0.36159</cdr:x>
      <cdr:y>0.86172</cdr:y>
    </cdr:to>
    <cdr:sp macro="" textlink="">
      <cdr:nvSpPr>
        <cdr:cNvPr id="4" name="3 CuadroTexto"/>
        <cdr:cNvSpPr txBox="1"/>
      </cdr:nvSpPr>
      <cdr:spPr>
        <a:xfrm xmlns:a="http://schemas.openxmlformats.org/drawingml/2006/main">
          <a:off x="1038225" y="18002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100">
              <a:solidFill>
                <a:srgbClr val="FF0000"/>
              </a:solidFill>
            </a:rPr>
            <a:t>*</a:t>
          </a:r>
        </a:p>
      </cdr:txBody>
    </cdr:sp>
  </cdr:relSizeAnchor>
  <cdr:relSizeAnchor xmlns:cdr="http://schemas.openxmlformats.org/drawingml/2006/chartDrawing">
    <cdr:from>
      <cdr:x>0.74259</cdr:x>
      <cdr:y>0.53215</cdr:y>
    </cdr:from>
    <cdr:to>
      <cdr:x>0.91192</cdr:x>
      <cdr:y>0.82241</cdr:y>
    </cdr:to>
    <cdr:sp macro="" textlink="">
      <cdr:nvSpPr>
        <cdr:cNvPr id="5" name="4 CuadroTexto"/>
        <cdr:cNvSpPr txBox="1"/>
      </cdr:nvSpPr>
      <cdr:spPr>
        <a:xfrm xmlns:a="http://schemas.openxmlformats.org/drawingml/2006/main">
          <a:off x="4010025" y="1676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100"/>
            <a:t>*</a:t>
          </a:r>
        </a:p>
      </cdr:txBody>
    </cdr:sp>
  </cdr:relSizeAnchor>
  <cdr:relSizeAnchor xmlns:cdr="http://schemas.openxmlformats.org/drawingml/2006/chartDrawing">
    <cdr:from>
      <cdr:x>0.50976</cdr:x>
      <cdr:y>0.49889</cdr:y>
    </cdr:from>
    <cdr:to>
      <cdr:x>0.67909</cdr:x>
      <cdr:y>0.78916</cdr:y>
    </cdr:to>
    <cdr:sp macro="" textlink="">
      <cdr:nvSpPr>
        <cdr:cNvPr id="6" name="5 CuadroTexto"/>
        <cdr:cNvSpPr txBox="1"/>
      </cdr:nvSpPr>
      <cdr:spPr>
        <a:xfrm xmlns:a="http://schemas.openxmlformats.org/drawingml/2006/main">
          <a:off x="2752725" y="15716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100">
              <a:solidFill>
                <a:srgbClr val="FF0000"/>
              </a:solidFill>
            </a:rPr>
            <a:t>*</a:t>
          </a:r>
        </a:p>
      </cdr:txBody>
    </cdr:sp>
  </cdr:relSizeAnchor>
  <cdr:relSizeAnchor xmlns:cdr="http://schemas.openxmlformats.org/drawingml/2006/chartDrawing">
    <cdr:from>
      <cdr:x>0.32808</cdr:x>
      <cdr:y>0.65309</cdr:y>
    </cdr:from>
    <cdr:to>
      <cdr:x>0.49741</cdr:x>
      <cdr:y>0.94336</cdr:y>
    </cdr:to>
    <cdr:sp macro="" textlink="">
      <cdr:nvSpPr>
        <cdr:cNvPr id="7" name="6 CuadroTexto"/>
        <cdr:cNvSpPr txBox="1"/>
      </cdr:nvSpPr>
      <cdr:spPr>
        <a:xfrm xmlns:a="http://schemas.openxmlformats.org/drawingml/2006/main">
          <a:off x="1771650" y="2057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_tradnl" sz="1100"/>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2429</Words>
  <Characters>13361</Characters>
  <Application>Microsoft Office Word</Application>
  <DocSecurity>0</DocSecurity>
  <Lines>111</Lines>
  <Paragraphs>31</Paragraphs>
  <ScaleCrop>false</ScaleCrop>
  <Company>Windows uE</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1</cp:revision>
  <dcterms:created xsi:type="dcterms:W3CDTF">2017-04-18T13:35:00Z</dcterms:created>
  <dcterms:modified xsi:type="dcterms:W3CDTF">2017-04-18T13:36:00Z</dcterms:modified>
</cp:coreProperties>
</file>